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65" w:rsidRDefault="000D2365" w:rsidP="000D23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4282D">
        <w:rPr>
          <w:rFonts w:ascii="Arial" w:hAnsi="Arial" w:cs="Arial"/>
          <w:bCs/>
          <w:sz w:val="22"/>
          <w:szCs w:val="22"/>
        </w:rPr>
        <w:t xml:space="preserve">The Queensland Solar Bonus Scheme </w:t>
      </w:r>
      <w:r>
        <w:rPr>
          <w:rFonts w:ascii="Arial" w:hAnsi="Arial" w:cs="Arial"/>
          <w:bCs/>
          <w:sz w:val="22"/>
          <w:szCs w:val="22"/>
        </w:rPr>
        <w:t xml:space="preserve">(the Scheme) </w:t>
      </w:r>
      <w:r w:rsidRPr="0094282D">
        <w:rPr>
          <w:rFonts w:ascii="Arial" w:hAnsi="Arial" w:cs="Arial"/>
          <w:bCs/>
          <w:sz w:val="22"/>
          <w:szCs w:val="22"/>
        </w:rPr>
        <w:t>has achieved its policy objectives to make solar photovoltaic</w:t>
      </w:r>
      <w:r>
        <w:rPr>
          <w:rFonts w:ascii="Arial" w:hAnsi="Arial" w:cs="Arial"/>
          <w:bCs/>
          <w:sz w:val="22"/>
          <w:szCs w:val="22"/>
        </w:rPr>
        <w:t xml:space="preserve"> (PV)</w:t>
      </w:r>
      <w:r w:rsidRPr="0094282D">
        <w:rPr>
          <w:rFonts w:ascii="Arial" w:hAnsi="Arial" w:cs="Arial"/>
          <w:bCs/>
          <w:sz w:val="22"/>
          <w:szCs w:val="22"/>
        </w:rPr>
        <w:t xml:space="preserve"> systems more affordable for Queenslanders, stimulate the solar </w:t>
      </w:r>
      <w:r>
        <w:rPr>
          <w:rFonts w:ascii="Arial" w:hAnsi="Arial" w:cs="Arial"/>
          <w:bCs/>
          <w:sz w:val="22"/>
          <w:szCs w:val="22"/>
        </w:rPr>
        <w:t xml:space="preserve">power </w:t>
      </w:r>
      <w:r w:rsidRPr="0094282D">
        <w:rPr>
          <w:rFonts w:ascii="Arial" w:hAnsi="Arial" w:cs="Arial"/>
          <w:bCs/>
          <w:sz w:val="22"/>
          <w:szCs w:val="22"/>
        </w:rPr>
        <w:t xml:space="preserve">industry and </w:t>
      </w:r>
      <w:r>
        <w:rPr>
          <w:rFonts w:ascii="Arial" w:hAnsi="Arial" w:cs="Arial"/>
          <w:bCs/>
          <w:sz w:val="22"/>
          <w:szCs w:val="22"/>
        </w:rPr>
        <w:t>encourage</w:t>
      </w:r>
      <w:r w:rsidRPr="0094282D">
        <w:rPr>
          <w:rFonts w:ascii="Arial" w:hAnsi="Arial" w:cs="Arial"/>
          <w:bCs/>
          <w:sz w:val="22"/>
          <w:szCs w:val="22"/>
        </w:rPr>
        <w:t xml:space="preserve"> energy efficiency.</w:t>
      </w:r>
    </w:p>
    <w:p w:rsidR="000D2365" w:rsidRPr="00106586" w:rsidRDefault="000D2365" w:rsidP="000D23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06586">
        <w:rPr>
          <w:rFonts w:ascii="Arial" w:hAnsi="Arial" w:cs="Arial"/>
          <w:bCs/>
          <w:sz w:val="22"/>
          <w:szCs w:val="22"/>
        </w:rPr>
        <w:t xml:space="preserve">The Scheme pays eligible households and other small customers for the surplus electricity generated from solar PV panel systems, which is exported to the </w:t>
      </w:r>
      <w:smartTag w:uri="urn:schemas-microsoft-com:office:smarttags" w:element="place">
        <w:smartTag w:uri="urn:schemas-microsoft-com:office:smarttags" w:element="State">
          <w:r w:rsidRPr="00106586">
            <w:rPr>
              <w:rFonts w:ascii="Arial" w:hAnsi="Arial" w:cs="Arial"/>
              <w:bCs/>
              <w:sz w:val="22"/>
              <w:szCs w:val="22"/>
            </w:rPr>
            <w:t>Queensland</w:t>
          </w:r>
        </w:smartTag>
      </w:smartTag>
      <w:r w:rsidRPr="00106586">
        <w:rPr>
          <w:rFonts w:ascii="Arial" w:hAnsi="Arial" w:cs="Arial"/>
          <w:bCs/>
          <w:sz w:val="22"/>
          <w:szCs w:val="22"/>
        </w:rPr>
        <w:t xml:space="preserve"> electricity grid.  </w:t>
      </w:r>
    </w:p>
    <w:p w:rsidR="000D2365" w:rsidRPr="00732BAE" w:rsidRDefault="000D2365" w:rsidP="000D23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Solar PV uptake as a result of the Scheme has exceeded original projections.  </w:t>
      </w:r>
      <w:r w:rsidRPr="000E1206">
        <w:rPr>
          <w:rFonts w:ascii="Arial" w:hAnsi="Arial" w:cs="Arial"/>
          <w:bCs/>
          <w:sz w:val="22"/>
          <w:szCs w:val="22"/>
        </w:rPr>
        <w:t xml:space="preserve">When the Scheme commenced in July 2008, approximately 1,200 Queenslanders had connected </w:t>
      </w:r>
      <w:r w:rsidRPr="001317BC">
        <w:rPr>
          <w:rFonts w:ascii="Arial" w:hAnsi="Arial" w:cs="Arial"/>
          <w:bCs/>
          <w:sz w:val="22"/>
          <w:szCs w:val="22"/>
        </w:rPr>
        <w:t>3.2 megawatts (MW) of solar PV capacity. As at 3</w:t>
      </w:r>
      <w:r>
        <w:rPr>
          <w:rFonts w:ascii="Arial" w:hAnsi="Arial" w:cs="Arial"/>
          <w:bCs/>
          <w:sz w:val="22"/>
          <w:szCs w:val="22"/>
        </w:rPr>
        <w:t>1</w:t>
      </w:r>
      <w:r w:rsidRPr="001317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May</w:t>
      </w:r>
      <w:r w:rsidRPr="001317BC">
        <w:rPr>
          <w:rFonts w:ascii="Arial" w:hAnsi="Arial" w:cs="Arial"/>
          <w:bCs/>
          <w:sz w:val="22"/>
          <w:szCs w:val="22"/>
        </w:rPr>
        <w:t xml:space="preserve"> 2012, more than 1</w:t>
      </w:r>
      <w:r>
        <w:rPr>
          <w:rFonts w:ascii="Arial" w:hAnsi="Arial" w:cs="Arial"/>
          <w:bCs/>
          <w:sz w:val="22"/>
          <w:szCs w:val="22"/>
        </w:rPr>
        <w:t>8</w:t>
      </w:r>
      <w:r w:rsidRPr="001317BC">
        <w:rPr>
          <w:rFonts w:ascii="Arial" w:hAnsi="Arial" w:cs="Arial"/>
          <w:bCs/>
          <w:sz w:val="22"/>
          <w:szCs w:val="22"/>
        </w:rPr>
        <w:t>0,000 Queenslanders had signed up to the Scheme with over 4</w:t>
      </w:r>
      <w:r>
        <w:rPr>
          <w:rFonts w:ascii="Arial" w:hAnsi="Arial" w:cs="Arial"/>
          <w:bCs/>
          <w:sz w:val="22"/>
          <w:szCs w:val="22"/>
        </w:rPr>
        <w:t>61</w:t>
      </w:r>
      <w:r w:rsidRPr="001317BC">
        <w:rPr>
          <w:rFonts w:ascii="Arial" w:hAnsi="Arial" w:cs="Arial"/>
          <w:bCs/>
          <w:sz w:val="22"/>
          <w:szCs w:val="22"/>
        </w:rPr>
        <w:t> MW of connected capacity. This rapid</w:t>
      </w:r>
      <w:r w:rsidRPr="000E1206">
        <w:rPr>
          <w:rFonts w:ascii="Arial" w:hAnsi="Arial" w:cs="Arial"/>
          <w:bCs/>
          <w:sz w:val="22"/>
          <w:szCs w:val="22"/>
        </w:rPr>
        <w:t xml:space="preserve"> growth has resulted in the creation of </w:t>
      </w:r>
      <w:r>
        <w:rPr>
          <w:rFonts w:ascii="Arial" w:hAnsi="Arial" w:cs="Arial"/>
          <w:bCs/>
          <w:sz w:val="22"/>
          <w:szCs w:val="22"/>
        </w:rPr>
        <w:t>more than</w:t>
      </w:r>
      <w:r w:rsidRPr="000E1206">
        <w:rPr>
          <w:rFonts w:ascii="Arial" w:hAnsi="Arial" w:cs="Arial"/>
          <w:bCs/>
          <w:sz w:val="22"/>
          <w:szCs w:val="22"/>
        </w:rPr>
        <w:t xml:space="preserve"> 1,000 full-time accredited solar installers</w:t>
      </w:r>
      <w:r>
        <w:rPr>
          <w:rFonts w:ascii="Arial" w:hAnsi="Arial" w:cs="Arial"/>
          <w:bCs/>
          <w:sz w:val="22"/>
          <w:szCs w:val="22"/>
        </w:rPr>
        <w:t>.</w:t>
      </w:r>
    </w:p>
    <w:p w:rsidR="000D2365" w:rsidRDefault="000D2365" w:rsidP="000D2365">
      <w:pPr>
        <w:ind w:right="1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D2365" w:rsidRPr="00D94958" w:rsidRDefault="000D2365" w:rsidP="000D2365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ind w:left="360" w:right="1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72E3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>:</w:t>
      </w:r>
    </w:p>
    <w:p w:rsidR="000D2365" w:rsidRDefault="000D2365" w:rsidP="000D2365">
      <w:pPr>
        <w:ind w:right="1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D2365" w:rsidRDefault="000D2365" w:rsidP="000D2365">
      <w:pPr>
        <w:numPr>
          <w:ilvl w:val="0"/>
          <w:numId w:val="2"/>
        </w:numPr>
        <w:tabs>
          <w:tab w:val="num" w:pos="280"/>
        </w:tabs>
        <w:ind w:left="811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closure of the 44 cents per kilowatt hour Scheme from midnight on </w:t>
      </w:r>
      <w:r>
        <w:rPr>
          <w:rFonts w:ascii="Arial" w:hAnsi="Arial" w:cs="Arial"/>
          <w:sz w:val="22"/>
          <w:szCs w:val="22"/>
        </w:rPr>
        <w:br/>
        <w:t>9 July 2012;</w:t>
      </w:r>
    </w:p>
    <w:p w:rsidR="000D2365" w:rsidRDefault="000D2365" w:rsidP="000D2365">
      <w:pPr>
        <w:numPr>
          <w:ilvl w:val="0"/>
          <w:numId w:val="2"/>
        </w:numPr>
        <w:tabs>
          <w:tab w:val="num" w:pos="280"/>
        </w:tabs>
        <w:ind w:left="811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replacement of the existing Scheme with an 8 cents per kilowatt hour feed-in tariff from 10 July 2012, subject to review by 1 July 2013;</w:t>
      </w:r>
    </w:p>
    <w:p w:rsidR="000D2365" w:rsidRDefault="000D2365" w:rsidP="000D2365">
      <w:pPr>
        <w:numPr>
          <w:ilvl w:val="0"/>
          <w:numId w:val="2"/>
        </w:numPr>
        <w:tabs>
          <w:tab w:val="num" w:pos="280"/>
        </w:tabs>
        <w:ind w:left="811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Minister for Energy and Water Supply to task the Queensland Competition Authority with reviewing and making recommendations to Government on an unsubsidised ‘fair and reasonable’ feed-in tariff for Queensland, and its implementation; and</w:t>
      </w:r>
    </w:p>
    <w:p w:rsidR="000D2365" w:rsidRPr="00297423" w:rsidRDefault="000D2365" w:rsidP="000D2365">
      <w:pPr>
        <w:numPr>
          <w:ilvl w:val="0"/>
          <w:numId w:val="2"/>
        </w:numPr>
        <w:tabs>
          <w:tab w:val="num" w:pos="280"/>
        </w:tabs>
        <w:ind w:left="811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transitional provisions which cease an existing customer’s eligibility for the </w:t>
      </w:r>
      <w:r>
        <w:rPr>
          <w:rFonts w:ascii="Arial" w:hAnsi="Arial" w:cs="Arial"/>
          <w:sz w:val="22"/>
          <w:szCs w:val="22"/>
        </w:rPr>
        <w:br/>
        <w:t>44 cents per kilowatt hour Scheme where they cease to be the electricity account holder for the eligible premises or fail to install their system by 30 June 2013.</w:t>
      </w:r>
    </w:p>
    <w:p w:rsidR="000D2365" w:rsidRPr="00CE6FBA" w:rsidRDefault="000D2365" w:rsidP="000D2365">
      <w:pPr>
        <w:ind w:right="140"/>
        <w:jc w:val="both"/>
        <w:rPr>
          <w:rFonts w:ascii="Arial" w:hAnsi="Arial" w:cs="Arial"/>
          <w:spacing w:val="-3"/>
          <w:sz w:val="22"/>
          <w:szCs w:val="22"/>
        </w:rPr>
      </w:pPr>
    </w:p>
    <w:p w:rsidR="000D2365" w:rsidRPr="0010482B" w:rsidRDefault="000D2365" w:rsidP="000D236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right="140" w:hanging="357"/>
        <w:jc w:val="both"/>
        <w:rPr>
          <w:rFonts w:ascii="Arial" w:hAnsi="Arial" w:cs="Arial"/>
          <w:i/>
          <w:sz w:val="22"/>
          <w:szCs w:val="22"/>
        </w:rPr>
      </w:pPr>
      <w:r w:rsidRPr="0010482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D2365" w:rsidRPr="00C07656" w:rsidRDefault="000D2365" w:rsidP="000D2365">
      <w:pPr>
        <w:keepNext/>
        <w:ind w:right="140"/>
        <w:jc w:val="both"/>
        <w:rPr>
          <w:rFonts w:ascii="Arial" w:hAnsi="Arial" w:cs="Arial"/>
          <w:sz w:val="22"/>
          <w:szCs w:val="22"/>
        </w:rPr>
      </w:pPr>
    </w:p>
    <w:p w:rsidR="00EC5418" w:rsidRPr="000D2365" w:rsidRDefault="000D2365" w:rsidP="000D2365">
      <w:pPr>
        <w:numPr>
          <w:ilvl w:val="0"/>
          <w:numId w:val="2"/>
        </w:numPr>
        <w:tabs>
          <w:tab w:val="num" w:pos="280"/>
        </w:tabs>
        <w:ind w:left="811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10482B">
        <w:rPr>
          <w:rFonts w:ascii="Arial" w:hAnsi="Arial" w:cs="Arial"/>
          <w:sz w:val="22"/>
          <w:szCs w:val="22"/>
        </w:rPr>
        <w:t>.</w:t>
      </w:r>
    </w:p>
    <w:sectPr w:rsidR="00EC5418" w:rsidRPr="000D2365" w:rsidSect="0010482B">
      <w:headerReference w:type="default" r:id="rId7"/>
      <w:pgSz w:w="11906" w:h="16838" w:code="9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68" w:rsidRDefault="00C75E68" w:rsidP="00D6589B">
      <w:r>
        <w:separator/>
      </w:r>
    </w:p>
  </w:endnote>
  <w:endnote w:type="continuationSeparator" w:id="0">
    <w:p w:rsidR="00C75E68" w:rsidRDefault="00C75E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68" w:rsidRDefault="00C75E68" w:rsidP="00D6589B">
      <w:r>
        <w:separator/>
      </w:r>
    </w:p>
  </w:footnote>
  <w:footnote w:type="continuationSeparator" w:id="0">
    <w:p w:rsidR="00C75E68" w:rsidRDefault="00C75E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0D2365"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8C495A" w:rsidRDefault="000D236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Electricity Act Amendment Bill 2012 (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Solar Bonus Scheme Review)</w:t>
    </w:r>
  </w:p>
  <w:p w:rsidR="00362A99" w:rsidRDefault="00362A99" w:rsidP="00362A9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8C495A" w:rsidRDefault="00362A99" w:rsidP="00362A9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BFCC9B44"/>
    <w:lvl w:ilvl="0" w:tplc="1D98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43904"/>
    <w:rsid w:val="00080F8F"/>
    <w:rsid w:val="000B4E1A"/>
    <w:rsid w:val="000D2365"/>
    <w:rsid w:val="0010482B"/>
    <w:rsid w:val="001C2AC7"/>
    <w:rsid w:val="00362A99"/>
    <w:rsid w:val="00501C66"/>
    <w:rsid w:val="005F40DF"/>
    <w:rsid w:val="00612456"/>
    <w:rsid w:val="006C19D9"/>
    <w:rsid w:val="00732E22"/>
    <w:rsid w:val="007D5E26"/>
    <w:rsid w:val="008C495A"/>
    <w:rsid w:val="0091737C"/>
    <w:rsid w:val="009A4466"/>
    <w:rsid w:val="00A203D0"/>
    <w:rsid w:val="00A44EEF"/>
    <w:rsid w:val="00A679FD"/>
    <w:rsid w:val="00A81022"/>
    <w:rsid w:val="00B0504C"/>
    <w:rsid w:val="00B467A6"/>
    <w:rsid w:val="00B87206"/>
    <w:rsid w:val="00B973BD"/>
    <w:rsid w:val="00C75E68"/>
    <w:rsid w:val="00CF0D8A"/>
    <w:rsid w:val="00D51241"/>
    <w:rsid w:val="00D6589B"/>
    <w:rsid w:val="00EC5418"/>
    <w:rsid w:val="00F431CE"/>
    <w:rsid w:val="00F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1346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</CharactersWithSpaces>
  <SharedDoc>false</SharedDoc>
  <HyperlinkBase>https://www.cabinet.qld.gov.au/documents/2012/Jun/Electricity Bill/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Solar</cp:keywords>
  <dc:description/>
  <cp:lastModifiedBy/>
  <cp:revision>2</cp:revision>
  <dcterms:created xsi:type="dcterms:W3CDTF">2017-10-24T23:19:00Z</dcterms:created>
  <dcterms:modified xsi:type="dcterms:W3CDTF">2018-03-06T01:13:00Z</dcterms:modified>
  <cp:category>Electricity,Legislation,Parliament</cp:category>
</cp:coreProperties>
</file>